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2"/>
      </w:tblGrid>
      <w:tr w:rsidR="004511E9" w14:paraId="5313D26A" w14:textId="77777777" w:rsidTr="00BD295D">
        <w:tc>
          <w:tcPr>
            <w:tcW w:w="10942" w:type="dxa"/>
          </w:tcPr>
          <w:p w14:paraId="413616C1" w14:textId="77777777" w:rsidR="004511E9" w:rsidRDefault="00BD295D" w:rsidP="004511E9">
            <w:pPr>
              <w:jc w:val="center"/>
            </w:pPr>
            <w:r>
              <w:rPr>
                <w:noProof/>
                <w:lang w:val="fr-FR"/>
              </w:rPr>
              <w:drawing>
                <wp:inline distT="0" distB="0" distL="0" distR="0" wp14:anchorId="1CD27B76" wp14:editId="51D71503">
                  <wp:extent cx="2541181" cy="1284473"/>
                  <wp:effectExtent l="0" t="0" r="0" b="11430"/>
                  <wp:docPr id="5" name="Image 5" descr="Macintosh HD:Users:mattjammes:Desktop:logo font du l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ttjammes:Desktop:logo font du lo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879" cy="1284826"/>
                          </a:xfrm>
                          <a:prstGeom prst="rect">
                            <a:avLst/>
                          </a:prstGeom>
                          <a:noFill/>
                          <a:ln>
                            <a:noFill/>
                          </a:ln>
                        </pic:spPr>
                      </pic:pic>
                    </a:graphicData>
                  </a:graphic>
                </wp:inline>
              </w:drawing>
            </w:r>
          </w:p>
        </w:tc>
      </w:tr>
    </w:tbl>
    <w:p w14:paraId="3A7C175B" w14:textId="77777777" w:rsidR="004511E9" w:rsidRPr="006576B5" w:rsidRDefault="00BD295D" w:rsidP="004511E9">
      <w:pPr>
        <w:jc w:val="both"/>
        <w:rPr>
          <w:rFonts w:ascii="Century" w:hAnsi="Century"/>
          <w:sz w:val="22"/>
          <w:szCs w:val="22"/>
        </w:rPr>
      </w:pPr>
      <w:r w:rsidRPr="006576B5">
        <w:rPr>
          <w:rFonts w:ascii="Century" w:hAnsi="Century"/>
          <w:sz w:val="22"/>
          <w:szCs w:val="22"/>
        </w:rPr>
        <w:t>Font du Loup is quite unique in that our vineyards are on north-facing slopes and the soils have a high percentage of sand. These north-facing, sandy plots tend to ripen more slowly. As such, we harvest on average two weeks later than other estates. This results in wines that are more complex, aromatic and contain less alcohol. The style here is towards elegance and finesse rather than power and extraction. Our style adds a refreshing change of pace to a region whose wines have become a touch heavy.</w:t>
      </w:r>
    </w:p>
    <w:p w14:paraId="4598D8A6" w14:textId="77777777" w:rsidR="00BD295D" w:rsidRDefault="00BD295D" w:rsidP="004511E9">
      <w:pPr>
        <w:jc w:val="both"/>
      </w:pPr>
    </w:p>
    <w:p w14:paraId="13BC22F0" w14:textId="77777777" w:rsidR="004511E9" w:rsidRDefault="004511E9" w:rsidP="004511E9">
      <w:pPr>
        <w:jc w:val="both"/>
      </w:pPr>
    </w:p>
    <w:p w14:paraId="3395015E" w14:textId="77777777" w:rsidR="00E355EC" w:rsidRDefault="00E355EC" w:rsidP="004511E9">
      <w:pPr>
        <w:jc w:val="both"/>
      </w:pPr>
    </w:p>
    <w:tbl>
      <w:tblPr>
        <w:tblStyle w:val="Grilledutableau"/>
        <w:tblW w:w="0" w:type="auto"/>
        <w:tblLook w:val="04A0" w:firstRow="1" w:lastRow="0" w:firstColumn="1" w:lastColumn="0" w:noHBand="0" w:noVBand="1"/>
      </w:tblPr>
      <w:tblGrid>
        <w:gridCol w:w="3638"/>
        <w:gridCol w:w="3206"/>
        <w:gridCol w:w="3948"/>
      </w:tblGrid>
      <w:tr w:rsidR="001A0EA3" w:rsidRPr="000A4534" w14:paraId="43FB9C67" w14:textId="77777777" w:rsidTr="001302F4">
        <w:tc>
          <w:tcPr>
            <w:tcW w:w="3647" w:type="dxa"/>
            <w:vAlign w:val="center"/>
          </w:tcPr>
          <w:p w14:paraId="7662451E" w14:textId="77777777" w:rsidR="00E355EC" w:rsidRDefault="001A0EA3" w:rsidP="006D6A17">
            <w:pPr>
              <w:jc w:val="center"/>
            </w:pPr>
            <w:r w:rsidRPr="001A0EA3">
              <w:rPr>
                <w:noProof/>
                <w:lang w:val="fr-FR"/>
              </w:rPr>
              <w:drawing>
                <wp:inline distT="0" distB="0" distL="0" distR="0" wp14:anchorId="434E084E" wp14:editId="23A1679D">
                  <wp:extent cx="1944719" cy="1837139"/>
                  <wp:effectExtent l="0" t="0" r="0" b="0"/>
                  <wp:docPr id="1" name="Image 1" descr="C:\Users\ac.bachas\Documents\Packshot bouteilles\COTES-DU-R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bachas\Documents\Packshot bouteilles\COTES-DU-RHO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0673" cy="1852210"/>
                          </a:xfrm>
                          <a:prstGeom prst="rect">
                            <a:avLst/>
                          </a:prstGeom>
                          <a:noFill/>
                          <a:ln>
                            <a:noFill/>
                          </a:ln>
                        </pic:spPr>
                      </pic:pic>
                    </a:graphicData>
                  </a:graphic>
                </wp:inline>
              </w:drawing>
            </w:r>
          </w:p>
        </w:tc>
        <w:tc>
          <w:tcPr>
            <w:tcW w:w="7295" w:type="dxa"/>
            <w:gridSpan w:val="2"/>
            <w:vAlign w:val="center"/>
          </w:tcPr>
          <w:p w14:paraId="3302852A" w14:textId="3B463FAA" w:rsidR="00BD295D" w:rsidRPr="009C7B65" w:rsidRDefault="001A0EA3" w:rsidP="00BD295D">
            <w:pPr>
              <w:jc w:val="both"/>
              <w:rPr>
                <w:rFonts w:ascii="Century" w:hAnsi="Century"/>
                <w:b/>
                <w:sz w:val="22"/>
                <w:szCs w:val="22"/>
              </w:rPr>
            </w:pPr>
            <w:r>
              <w:rPr>
                <w:rFonts w:ascii="Century" w:hAnsi="Century"/>
                <w:b/>
                <w:sz w:val="22"/>
                <w:szCs w:val="22"/>
              </w:rPr>
              <w:t>SIGNATURE BY LA FONT DU LOUP 20</w:t>
            </w:r>
            <w:r w:rsidR="00AA0750">
              <w:rPr>
                <w:rFonts w:ascii="Century" w:hAnsi="Century"/>
                <w:b/>
                <w:sz w:val="22"/>
                <w:szCs w:val="22"/>
              </w:rPr>
              <w:t>20</w:t>
            </w:r>
            <w:r>
              <w:rPr>
                <w:rFonts w:ascii="Century" w:hAnsi="Century"/>
                <w:b/>
                <w:sz w:val="22"/>
                <w:szCs w:val="22"/>
              </w:rPr>
              <w:t xml:space="preserve"> WHITE</w:t>
            </w:r>
          </w:p>
          <w:p w14:paraId="02BB5A14" w14:textId="77777777" w:rsidR="000A4534" w:rsidRPr="009C7B65" w:rsidRDefault="000A4534" w:rsidP="00BD295D">
            <w:pPr>
              <w:jc w:val="both"/>
              <w:rPr>
                <w:rFonts w:ascii="Century" w:hAnsi="Century"/>
                <w:sz w:val="22"/>
                <w:szCs w:val="22"/>
              </w:rPr>
            </w:pPr>
          </w:p>
          <w:p w14:paraId="687B5F1F" w14:textId="77777777" w:rsidR="000A4534" w:rsidRPr="000A4534" w:rsidRDefault="009C7B65" w:rsidP="000A4534">
            <w:pPr>
              <w:jc w:val="both"/>
              <w:rPr>
                <w:rFonts w:ascii="Century" w:hAnsi="Century"/>
                <w:sz w:val="22"/>
                <w:szCs w:val="22"/>
              </w:rPr>
            </w:pPr>
            <w:r w:rsidRPr="009C7B65">
              <w:rPr>
                <w:rFonts w:ascii="Century" w:hAnsi="Century"/>
                <w:sz w:val="22"/>
                <w:szCs w:val="22"/>
              </w:rPr>
              <w:t>80</w:t>
            </w:r>
            <w:r w:rsidR="00BD295D" w:rsidRPr="000A4534">
              <w:rPr>
                <w:rFonts w:ascii="Century" w:hAnsi="Century"/>
                <w:sz w:val="22"/>
                <w:szCs w:val="22"/>
              </w:rPr>
              <w:t>% Grenache</w:t>
            </w:r>
            <w:r w:rsidR="001A0EA3">
              <w:rPr>
                <w:rFonts w:ascii="Century" w:hAnsi="Century"/>
                <w:sz w:val="22"/>
                <w:szCs w:val="22"/>
              </w:rPr>
              <w:t xml:space="preserve"> blanc</w:t>
            </w:r>
            <w:r w:rsidR="00BD295D" w:rsidRPr="000A4534">
              <w:rPr>
                <w:rFonts w:ascii="Century" w:hAnsi="Century"/>
                <w:sz w:val="22"/>
                <w:szCs w:val="22"/>
              </w:rPr>
              <w:t>,</w:t>
            </w:r>
            <w:r w:rsidR="001A0EA3">
              <w:rPr>
                <w:rFonts w:ascii="Century" w:hAnsi="Century"/>
                <w:sz w:val="22"/>
                <w:szCs w:val="22"/>
              </w:rPr>
              <w:t xml:space="preserve"> 10% Clairette and 10% Viognier</w:t>
            </w:r>
            <w:r w:rsidR="00BD295D" w:rsidRPr="000A4534">
              <w:rPr>
                <w:rFonts w:ascii="Century" w:hAnsi="Century"/>
                <w:sz w:val="22"/>
                <w:szCs w:val="22"/>
              </w:rPr>
              <w:t xml:space="preserve"> </w:t>
            </w:r>
            <w:r w:rsidR="000A4534" w:rsidRPr="000A4534">
              <w:rPr>
                <w:rFonts w:ascii="Century" w:hAnsi="Century"/>
                <w:sz w:val="22"/>
                <w:szCs w:val="22"/>
              </w:rPr>
              <w:t>vinified and aged in stainless steel vats for 6 months.</w:t>
            </w:r>
          </w:p>
          <w:p w14:paraId="5FFD0865" w14:textId="31EE99A5" w:rsidR="000A4534" w:rsidRDefault="009C7B65" w:rsidP="000A4534">
            <w:pPr>
              <w:jc w:val="both"/>
              <w:rPr>
                <w:rFonts w:ascii="Century" w:hAnsi="Century"/>
                <w:sz w:val="22"/>
                <w:szCs w:val="22"/>
              </w:rPr>
            </w:pPr>
            <w:r>
              <w:rPr>
                <w:rFonts w:ascii="Century" w:hAnsi="Century"/>
                <w:sz w:val="22"/>
                <w:szCs w:val="22"/>
              </w:rPr>
              <w:t>Complex, delicate,</w:t>
            </w:r>
            <w:r w:rsidR="001A0EA3">
              <w:rPr>
                <w:rFonts w:ascii="Century" w:hAnsi="Century"/>
                <w:sz w:val="22"/>
                <w:szCs w:val="22"/>
              </w:rPr>
              <w:t xml:space="preserve"> floral and fresh</w:t>
            </w:r>
            <w:r w:rsidR="00AA0750">
              <w:rPr>
                <w:rFonts w:ascii="Century" w:hAnsi="Century"/>
                <w:sz w:val="22"/>
                <w:szCs w:val="22"/>
              </w:rPr>
              <w:t xml:space="preserve"> with a nice hint of honey</w:t>
            </w:r>
            <w:r w:rsidR="001A0EA3">
              <w:rPr>
                <w:rFonts w:ascii="Century" w:hAnsi="Century"/>
                <w:sz w:val="22"/>
                <w:szCs w:val="22"/>
              </w:rPr>
              <w:t>,</w:t>
            </w:r>
            <w:r>
              <w:rPr>
                <w:rFonts w:ascii="Century" w:hAnsi="Century"/>
                <w:sz w:val="22"/>
                <w:szCs w:val="22"/>
              </w:rPr>
              <w:t xml:space="preserve"> made to be </w:t>
            </w:r>
            <w:r w:rsidR="001A0EA3">
              <w:rPr>
                <w:rFonts w:ascii="Century" w:hAnsi="Century"/>
                <w:sz w:val="22"/>
                <w:szCs w:val="22"/>
              </w:rPr>
              <w:t>an easy drinking white Côtes du Rhône.</w:t>
            </w:r>
          </w:p>
          <w:p w14:paraId="0E1B1F18" w14:textId="2F27B1A0" w:rsidR="00AA0750" w:rsidRDefault="00AA0750" w:rsidP="000A4534">
            <w:pPr>
              <w:jc w:val="both"/>
              <w:rPr>
                <w:rFonts w:ascii="Century" w:hAnsi="Century"/>
                <w:sz w:val="22"/>
                <w:szCs w:val="22"/>
              </w:rPr>
            </w:pPr>
            <w:r>
              <w:rPr>
                <w:rFonts w:ascii="Century" w:hAnsi="Century"/>
                <w:sz w:val="22"/>
                <w:szCs w:val="22"/>
              </w:rPr>
              <w:t>Pairing : Cheese plate, fish, oysters, crawfish, poultry</w:t>
            </w:r>
          </w:p>
          <w:p w14:paraId="0937FD43" w14:textId="77777777" w:rsidR="00E355EC" w:rsidRPr="000A4534" w:rsidRDefault="00E355EC" w:rsidP="001A0EA3">
            <w:pPr>
              <w:jc w:val="both"/>
              <w:rPr>
                <w:rFonts w:ascii="Century" w:hAnsi="Century"/>
                <w:sz w:val="22"/>
                <w:szCs w:val="22"/>
              </w:rPr>
            </w:pPr>
          </w:p>
        </w:tc>
      </w:tr>
      <w:tr w:rsidR="001A0EA3" w:rsidRPr="000A4534" w14:paraId="2230A60A" w14:textId="77777777" w:rsidTr="00A376A2">
        <w:tc>
          <w:tcPr>
            <w:tcW w:w="3647" w:type="dxa"/>
          </w:tcPr>
          <w:p w14:paraId="26ABE393" w14:textId="77777777" w:rsidR="00E355EC" w:rsidRPr="000A4534" w:rsidRDefault="00E355EC" w:rsidP="00E355EC">
            <w:pPr>
              <w:jc w:val="both"/>
              <w:rPr>
                <w:b/>
              </w:rPr>
            </w:pPr>
          </w:p>
        </w:tc>
        <w:tc>
          <w:tcPr>
            <w:tcW w:w="3265" w:type="dxa"/>
          </w:tcPr>
          <w:p w14:paraId="2B46552C" w14:textId="77777777" w:rsidR="00E355EC" w:rsidRPr="000A4534" w:rsidRDefault="00E355EC" w:rsidP="00BD295D">
            <w:pPr>
              <w:jc w:val="both"/>
              <w:rPr>
                <w:b/>
              </w:rPr>
            </w:pPr>
          </w:p>
        </w:tc>
        <w:tc>
          <w:tcPr>
            <w:tcW w:w="4030" w:type="dxa"/>
          </w:tcPr>
          <w:p w14:paraId="443E397F" w14:textId="77777777" w:rsidR="00E355EC" w:rsidRPr="000A4534" w:rsidRDefault="00E355EC" w:rsidP="00BD295D">
            <w:pPr>
              <w:jc w:val="both"/>
              <w:rPr>
                <w:b/>
              </w:rPr>
            </w:pPr>
          </w:p>
        </w:tc>
      </w:tr>
    </w:tbl>
    <w:p w14:paraId="3F5E8C7F" w14:textId="77777777" w:rsidR="001302F4" w:rsidRPr="000A4534" w:rsidRDefault="001302F4" w:rsidP="004511E9">
      <w:pPr>
        <w:jc w:val="both"/>
      </w:pPr>
    </w:p>
    <w:p w14:paraId="2940CD30" w14:textId="77777777" w:rsidR="009C7B65" w:rsidRDefault="009C7B65" w:rsidP="009C7B65">
      <w:pPr>
        <w:jc w:val="both"/>
      </w:pPr>
    </w:p>
    <w:p w14:paraId="360C773D" w14:textId="77777777" w:rsidR="009C7B65" w:rsidRDefault="009C7B65" w:rsidP="009C7B65">
      <w:pPr>
        <w:jc w:val="both"/>
      </w:pPr>
    </w:p>
    <w:p w14:paraId="17473FF8" w14:textId="77777777" w:rsidR="001F0F42" w:rsidRDefault="001F0F42" w:rsidP="001F0F42">
      <w:pPr>
        <w:jc w:val="both"/>
      </w:pPr>
    </w:p>
    <w:p w14:paraId="236DDAA6" w14:textId="77777777" w:rsidR="001F0F42" w:rsidRPr="000A4534" w:rsidRDefault="001F0F42" w:rsidP="001F0F42">
      <w:pPr>
        <w:jc w:val="center"/>
      </w:pPr>
    </w:p>
    <w:p w14:paraId="4869C5B5" w14:textId="77777777" w:rsidR="001302F4" w:rsidRPr="000A4534" w:rsidRDefault="001302F4" w:rsidP="001302F4">
      <w:pPr>
        <w:jc w:val="center"/>
      </w:pPr>
    </w:p>
    <w:sectPr w:rsidR="001302F4" w:rsidRPr="000A4534" w:rsidSect="004511E9">
      <w:pgSz w:w="12242" w:h="15842"/>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E9"/>
    <w:rsid w:val="000A4534"/>
    <w:rsid w:val="000B7E99"/>
    <w:rsid w:val="0010438B"/>
    <w:rsid w:val="001302F4"/>
    <w:rsid w:val="001A0EA3"/>
    <w:rsid w:val="001F0F42"/>
    <w:rsid w:val="002C4EFF"/>
    <w:rsid w:val="00310AF6"/>
    <w:rsid w:val="003D3E35"/>
    <w:rsid w:val="004511E9"/>
    <w:rsid w:val="004F5611"/>
    <w:rsid w:val="006576B5"/>
    <w:rsid w:val="006D6A17"/>
    <w:rsid w:val="0091071E"/>
    <w:rsid w:val="009C7B65"/>
    <w:rsid w:val="00A376A2"/>
    <w:rsid w:val="00AA0750"/>
    <w:rsid w:val="00AD6AB4"/>
    <w:rsid w:val="00BD295D"/>
    <w:rsid w:val="00BE40A3"/>
    <w:rsid w:val="00D92744"/>
    <w:rsid w:val="00E355EC"/>
    <w:rsid w:val="00E6371F"/>
    <w:rsid w:val="00FA5829"/>
    <w:rsid w:val="00FF6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D189F"/>
  <w15:docId w15:val="{6C96E982-5EA3-4B07-B6F1-901E1DE8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11E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11E9"/>
    <w:rPr>
      <w:rFonts w:ascii="Lucida Grande" w:hAnsi="Lucida Grande" w:cs="Lucida Grande"/>
      <w:sz w:val="18"/>
      <w:szCs w:val="18"/>
      <w:lang w:val="en-US"/>
    </w:rPr>
  </w:style>
  <w:style w:type="table" w:styleId="Grilledutableau">
    <w:name w:val="Table Grid"/>
    <w:basedOn w:val="TableauNormal"/>
    <w:uiPriority w:val="59"/>
    <w:rsid w:val="0045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30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1D8A-198E-4669-B696-FBABB2D5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714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Jammes</dc:creator>
  <cp:lastModifiedBy>la fond du loup</cp:lastModifiedBy>
  <cp:revision>3</cp:revision>
  <cp:lastPrinted>2014-06-16T22:36:00Z</cp:lastPrinted>
  <dcterms:created xsi:type="dcterms:W3CDTF">2020-02-13T14:34:00Z</dcterms:created>
  <dcterms:modified xsi:type="dcterms:W3CDTF">2021-03-29T09:03:00Z</dcterms:modified>
</cp:coreProperties>
</file>